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Сведения о количестве вакантных мест для приема (перевода) по реализуемым образовательным программам  АНО «ЕВРОШКОЛА»</w:t>
      </w:r>
    </w:p>
    <w:tbl>
      <w:tblPr>
        <w:tblStyle w:val="Table1"/>
        <w:tblW w:w="10490.0" w:type="dxa"/>
        <w:jc w:val="left"/>
        <w:tblInd w:w="-7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37"/>
        <w:gridCol w:w="2551"/>
        <w:gridCol w:w="3402"/>
        <w:tblGridChange w:id="0">
          <w:tblGrid>
            <w:gridCol w:w="4537"/>
            <w:gridCol w:w="2551"/>
            <w:gridCol w:w="3402"/>
          </w:tblGrid>
        </w:tblGridChange>
      </w:tblGrid>
      <w:tr>
        <w:tc>
          <w:tcPr>
            <w:shd w:fill="ffff66" w:val="clear"/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Образовательная программа</w:t>
            </w:r>
          </w:p>
        </w:tc>
        <w:tc>
          <w:tcPr>
            <w:shd w:fill="ffff66" w:val="clear"/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Вакантные бюджетные места</w:t>
            </w:r>
          </w:p>
        </w:tc>
        <w:tc>
          <w:tcPr>
            <w:shd w:fill="ffff66" w:val="clear"/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Вакантные места на договорной основе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Английский язык для малышей (4 года)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Английский язык для малышей (5 лет)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Английский язык для малышей (6 лет)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Английский язык для малышей (7 лет)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Английский язык для детей (8 лет)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Английский язык для детей (9 лет)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Английский язык для детей (10 лет)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Английский язык для детей (11 лет)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Английский язык для подростков (12 лет)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Английский язык для подростков (13 лет)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Английский язык для подростков (14 лет)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Английский язык для подростков (15 лет)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Английский язык для подростков (16 лет)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Классический курс английского языка для взрослых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709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oACpsq6tAf+Z5FOgub8DrMt3Lg==">AMUW2mWe9zgfP/3X0lEXZ8mfNT+3ciTUc6Ss8BKb3Z0JLGSpdF3MfozFQsqIyo//T8+475zDTSB3/0EGt13oHDFyrOM1mYokmRc+GwuRBC1+vx/jj2qW3sM=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2019-08-21T08:53:00Z</dcterms:created>
  <dc:creator>Подстрешная</dc:creator>
</cp:coreProperties>
</file>